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黑体"/>
          <w:color w:val="auto"/>
          <w:sz w:val="36"/>
          <w:szCs w:val="36"/>
        </w:rPr>
      </w:pPr>
      <w:r>
        <w:rPr>
          <w:rFonts w:hint="eastAsia" w:ascii="Arial" w:hAnsi="Arial" w:eastAsia="黑体"/>
          <w:color w:val="auto"/>
          <w:sz w:val="36"/>
          <w:szCs w:val="36"/>
          <w:lang w:val="en-US" w:eastAsia="zh-CN"/>
        </w:rPr>
        <w:t>HT-1000T型</w:t>
      </w:r>
      <w:r>
        <w:rPr>
          <w:rFonts w:hint="eastAsia" w:ascii="Arial" w:hAnsi="Arial" w:eastAsia="黑体"/>
          <w:color w:val="auto"/>
          <w:sz w:val="36"/>
          <w:szCs w:val="36"/>
        </w:rPr>
        <w:t>总氮在线自动监测仪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一、产品介绍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1、概述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Arial" w:hAnsi="Arial" w:eastAsia="黑体"/>
          <w:color w:val="auto"/>
          <w:sz w:val="21"/>
          <w:szCs w:val="21"/>
          <w:lang w:val="en-US" w:eastAsia="zh-CN"/>
        </w:rPr>
        <w:t>HT-1000T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型水质分析仪是用于地表水及排放污水的总氮指标的在线监测仪器。仪器以国标或行业标准为依据，具有操作简单，自动化程度高、便于维护、耗材成本低等特点，仪器标配有RS485/RS232接口，支持MODBUS协议，可以通过远程通讯对其运行状况和数据进行全面的掌握，亦能对其进行远程控制，实现远程分析、远程标定、远程清洗等先进功能。另外仪器自带有稀释功能，针对高浓度的样品亦可以满足其应用的要求。经长时间的反馈验证，其分析的精确度等指标均优于的国家相关标准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本产品适用于：地表水、生活污水、工业废水等。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2、方法依据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水质 总氮的测定 碱性过硫酸钾消解紫外分光光度法 HJ 636-2012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总氮水质自动分析仪技术要求 HJ/T 102-2003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原理简述：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在120~124℃下，碱性过硫酸钾溶液使样品中含氮化合物的氮转化为硝酸盐，采用紫外分光光度法于波长220nm和275nm处，分别测定吸光度A220和A275，按公式（1）计算校正吸光度A，总氮（以N计），含量与校正吸光度A成正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A=A220-2A275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3、典型应用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排污企业监测站房：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水质五参数（温度、pH、溶氧、电导、浊度）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总磷在线分析仪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氨氮在线分析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COD在线分析仪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总氮在线分析仪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数采仪（上传至环保局数据中心）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定制化采配水系统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监测站房及配套设施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二、产品参数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736"/>
        <w:gridCol w:w="60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分析量程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0.2-7.0mg/L； 0.2-70.0mg/L （可定制）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检出限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0.05mg/L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分辨率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＜0.02mg/L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误 差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＜10% F.S.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重复性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量程漂移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±5% F.S.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消解温度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120℃（可设置）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消解时长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30分钟（可设置）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分析方式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整 点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按小时运行，每天最多24组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间 隔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按设置间隔运行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手动分析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远 程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以MODBUS方式进行远程控制；干接点控制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标定方式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间隔次数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按分析累加次数进行间隔标定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间隔天数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按运行天数进行间隔标定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手动标定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远 程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以MODBUS方式进行远程控制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清洗方式</w:t>
            </w: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自 动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分析清洗；故障清洗；异常断电清洗；紧急停机清洗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 动</w:t>
            </w:r>
          </w:p>
        </w:tc>
        <w:tc>
          <w:tcPr>
            <w:tcW w:w="6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手动清洗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报 警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缺液报警；自检报警；故障报警；超标报警（一路继电器）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数 据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一路4—20mA模拟量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通 讯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一个RS232或RS485接口  标准MODBUS协议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存 储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约2万组（断电自动保存）；支持U盘导出EXCEL；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打 印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微型工业热敏打印机（选配）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试剂用量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约650次/套（3个月）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维保周期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约30天，需45分钟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显示单元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7寸液晶，800*480分辨率、TFT真彩色触摸屏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使用环境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5—35℃，湿度＜90%（无凝露）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水样温度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5—35℃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干 扰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六价铬离子，三价铁离子，碘离子，溴离子，碳酸盐及碳酸氢盐，硫酸盐及氯化物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采水单元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用于水样的循环及留存；自动反吹洗精密过滤系统（选配）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尺 寸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1500×500×400mm （含试剂柜）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重 量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45KG（含试剂柜）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电 源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AC 220V ± 10%, 50Hz ± 1%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功 率</w:t>
            </w:r>
          </w:p>
        </w:tc>
        <w:tc>
          <w:tcPr>
            <w:tcW w:w="7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"/>
              </w:rPr>
              <w:t>150W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三、产品特点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1、主要组件采用进口品牌，确保其准确度、稳定性和可靠性；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2、红外计量单元，定量准确；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3、三点自动标定，线性相关度高；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4、专用LED光源，高信噪比；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5、RS232/RS485接口，标准MODBUS协议，可远程读取仪器的运行状态和相关数据；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四、服务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仪器整机的保修期为12个月，保修期内的仪器出现质量问题，免费给予更换维修和技术支持。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厂家对所售产品提供终身维修服务；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1、耗材源于品牌标准件，价格合理透明；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2、配方公开、提供试剂及标液配制服务，试剂采用AR分析纯，国药品质；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3、专属的应用方案，现场优化设计；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4、专业的售后技术支持；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楷体_GB2312" w:eastAsia="楷体_GB2312"/>
      </w:rPr>
    </w:pPr>
    <w:r>
      <w:rPr>
        <w:rFonts w:ascii="宋体" w:hAnsi="宋体" w:cs="宋体"/>
        <w:kern w:val="0"/>
        <w:sz w:val="24"/>
      </w:rPr>
      <w:fldChar w:fldCharType="begin"/>
    </w:r>
    <w:r>
      <w:instrText xml:space="preserve"> INCLUDEPICTURE "E:\\桌面文件\\" \* MERGEFORMAT </w:instrText>
    </w:r>
    <w:r>
      <w:rPr>
        <w:rFonts w:ascii="宋体" w:hAnsi="宋体" w:cs="宋体"/>
        <w:kern w:val="0"/>
        <w:sz w:val="24"/>
      </w:rPr>
      <w:fldChar w:fldCharType="separate"/>
    </w:r>
    <w:r>
      <w:rPr>
        <w:rFonts w:ascii="宋体" w:hAnsi="宋体" w:cs="宋体"/>
        <w:kern w:val="0"/>
        <w:sz w:val="24"/>
      </w:rPr>
      <w:drawing>
        <wp:inline distT="0" distB="0" distL="114300" distR="114300">
          <wp:extent cx="1729105" cy="394970"/>
          <wp:effectExtent l="0" t="0" r="4445" b="5080"/>
          <wp:docPr id="2" name="图片 1" descr="8[F28D$@4$}}AUZ}92{TIP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8[F28D$@4$}}AUZ}92{TIP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10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cs="宋体"/>
        <w:kern w:val="0"/>
        <w:sz w:val="24"/>
      </w:rPr>
      <w:fldChar w:fldCharType="end"/>
    </w:r>
    <w:r>
      <w:rPr>
        <w:rFonts w:hint="eastAsia" w:ascii="宋体" w:hAnsi="宋体" w:cs="宋体"/>
        <w:kern w:val="0"/>
        <w:sz w:val="24"/>
      </w:rPr>
      <w:t xml:space="preserve">                    </w:t>
    </w:r>
    <w:r>
      <w:rPr>
        <w:rFonts w:hint="eastAsia" w:ascii="楷体_GB2312" w:hAnsi="宋体" w:eastAsia="楷体_GB2312" w:cs="宋体"/>
        <w:kern w:val="0"/>
        <w:sz w:val="24"/>
      </w:rPr>
      <w:t>青岛海特尔环保科技有限公司</w:t>
    </w:r>
  </w:p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C126D"/>
    <w:rsid w:val="0EEC126D"/>
    <w:rsid w:val="1E040907"/>
    <w:rsid w:val="47B624AD"/>
    <w:rsid w:val="64D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2019-11-29T02:29:00Z</dcterms:created>
  <dc:creator>Administrator</dc:creator>
  <cp:lastModifiedBy>Administrator</cp:lastModifiedBy>
  <dcterms:modified xsi:type="dcterms:W3CDTF">2021-03-24T02:14:55Z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52DCC8EE85854AEABDAD89AF428F9298</vt:lpwstr>
  </property>
</Properties>
</file>